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93024" w14:textId="5565BDA4" w:rsidR="00B222F6" w:rsidRPr="00A15172" w:rsidRDefault="008234FF">
      <w:pPr>
        <w:rPr>
          <w:rFonts w:ascii="Georgia" w:hAnsi="Georgia"/>
          <w:b/>
          <w:u w:val="single"/>
        </w:rPr>
      </w:pPr>
      <w:r>
        <w:rPr>
          <w:rFonts w:ascii="Georgia" w:hAnsi="Georgia"/>
          <w:b/>
          <w:u w:val="single"/>
        </w:rPr>
        <w:t>Visualizing Japanese Industrialization</w:t>
      </w:r>
    </w:p>
    <w:p w14:paraId="156898AB" w14:textId="244C2CFB" w:rsidR="00C0286D" w:rsidRPr="00A15172" w:rsidRDefault="008234FF">
      <w:pPr>
        <w:rPr>
          <w:rFonts w:ascii="Georgia" w:hAnsi="Georgia"/>
        </w:rPr>
      </w:pPr>
      <w:r>
        <w:rPr>
          <w:rFonts w:ascii="Georgia" w:hAnsi="Georgia"/>
        </w:rPr>
        <w:t>Photography from Japan’s Industrial Age</w:t>
      </w:r>
      <w:bookmarkStart w:id="0" w:name="_GoBack"/>
      <w:bookmarkEnd w:id="0"/>
    </w:p>
    <w:p w14:paraId="0ADD7E11" w14:textId="2BBB79C3" w:rsidR="003C4A2A" w:rsidRPr="00A15172" w:rsidRDefault="00574A0F">
      <w:pPr>
        <w:rPr>
          <w:rFonts w:ascii="Georgia" w:hAnsi="Georgia"/>
        </w:rPr>
      </w:pPr>
      <w:r w:rsidRPr="00A15172">
        <w:rPr>
          <w:rFonts w:ascii="Georgia" w:hAnsi="Georgia"/>
        </w:rPr>
        <w:t xml:space="preserve">From: </w:t>
      </w:r>
      <w:r w:rsidR="00286F88">
        <w:rPr>
          <w:rFonts w:ascii="Georgia" w:hAnsi="Georgia"/>
        </w:rPr>
        <w:t>Visualizing Cultures Workshop, Adrienne Karyadi</w:t>
      </w:r>
    </w:p>
    <w:p w14:paraId="16CD88DD" w14:textId="77777777" w:rsidR="00C0286D" w:rsidRPr="00A15172" w:rsidRDefault="00C0286D">
      <w:pPr>
        <w:rPr>
          <w:rFonts w:ascii="Georgia" w:hAnsi="Georgia"/>
        </w:rPr>
      </w:pPr>
    </w:p>
    <w:p w14:paraId="6D15CF34" w14:textId="5F6F6EA3" w:rsidR="00574A0F" w:rsidRPr="00A15172" w:rsidRDefault="0019790E" w:rsidP="0019790E">
      <w:pPr>
        <w:spacing w:before="100" w:beforeAutospacing="1" w:after="72"/>
        <w:rPr>
          <w:rFonts w:ascii="Georgia" w:hAnsi="Georgia"/>
        </w:rPr>
      </w:pPr>
      <w:r w:rsidRPr="00A15172">
        <w:rPr>
          <w:rFonts w:ascii="Georgia" w:hAnsi="Georgia"/>
          <w:b/>
        </w:rPr>
        <w:t>History Standards:</w:t>
      </w:r>
      <w:r w:rsidR="00882B8F" w:rsidRPr="00A15172">
        <w:rPr>
          <w:rFonts w:ascii="Georgia" w:hAnsi="Georgia"/>
          <w:b/>
        </w:rPr>
        <w:t xml:space="preserve"> </w:t>
      </w:r>
      <w:r w:rsidR="0012503B">
        <w:rPr>
          <w:rFonts w:ascii="Georgia" w:hAnsi="Georgia"/>
          <w:b/>
        </w:rPr>
        <w:t>10.</w:t>
      </w:r>
      <w:r w:rsidR="00286F88">
        <w:rPr>
          <w:rFonts w:ascii="Georgia" w:hAnsi="Georgia"/>
          <w:b/>
        </w:rPr>
        <w:t>3</w:t>
      </w:r>
      <w:r w:rsidRPr="00A15172">
        <w:rPr>
          <w:rFonts w:ascii="Georgia" w:hAnsi="Georgia"/>
        </w:rPr>
        <w:t xml:space="preserve"> </w:t>
      </w:r>
    </w:p>
    <w:p w14:paraId="39B6CFCB" w14:textId="50F44392" w:rsidR="0012503B" w:rsidRPr="00286F88" w:rsidRDefault="00286F88" w:rsidP="0012503B">
      <w:pPr>
        <w:rPr>
          <w:rFonts w:ascii="Georgia" w:hAnsi="Georgia"/>
        </w:rPr>
      </w:pPr>
      <w:r w:rsidRPr="00286F88">
        <w:rPr>
          <w:rFonts w:ascii="Georgia" w:hAnsi="Georgia" w:cs="Palatino"/>
          <w:bCs/>
          <w:color w:val="000000"/>
        </w:rPr>
        <w:t>Students analyze the effects of the Industrial Revolution in England, France, Germany, Japan, and the United States.</w:t>
      </w:r>
    </w:p>
    <w:p w14:paraId="60CF02A2" w14:textId="7BB14672" w:rsidR="00574A0F" w:rsidRPr="00A15172" w:rsidRDefault="0019790E" w:rsidP="0019790E">
      <w:pPr>
        <w:spacing w:before="100" w:beforeAutospacing="1" w:after="72"/>
        <w:rPr>
          <w:rFonts w:ascii="Georgia" w:hAnsi="Georgia" w:cs="Arial"/>
          <w:b/>
        </w:rPr>
      </w:pPr>
      <w:r w:rsidRPr="00A15172">
        <w:rPr>
          <w:rFonts w:ascii="Georgia" w:hAnsi="Georgia" w:cs="Arial"/>
          <w:b/>
        </w:rPr>
        <w:t xml:space="preserve">CCSS Standards: </w:t>
      </w:r>
      <w:r w:rsidR="008234FF">
        <w:rPr>
          <w:rFonts w:ascii="Georgia" w:hAnsi="Georgia" w:cs="Arial"/>
          <w:b/>
        </w:rPr>
        <w:t>Readi</w:t>
      </w:r>
      <w:r w:rsidR="0012503B">
        <w:rPr>
          <w:rFonts w:ascii="Georgia" w:hAnsi="Georgia" w:cs="Arial"/>
          <w:b/>
        </w:rPr>
        <w:t>ng</w:t>
      </w:r>
      <w:r w:rsidR="00574A0F" w:rsidRPr="00A15172">
        <w:rPr>
          <w:rFonts w:ascii="Georgia" w:hAnsi="Georgia" w:cs="Arial"/>
          <w:b/>
        </w:rPr>
        <w:t xml:space="preserve">, Grade </w:t>
      </w:r>
      <w:r w:rsidR="0012503B">
        <w:rPr>
          <w:rFonts w:ascii="Georgia" w:hAnsi="Georgia" w:cs="Arial"/>
          <w:b/>
        </w:rPr>
        <w:t>9-10</w:t>
      </w:r>
    </w:p>
    <w:p w14:paraId="1DBBDF79" w14:textId="0138EEAE" w:rsidR="00846A5A" w:rsidRDefault="00846A5A" w:rsidP="00846A5A">
      <w:r>
        <w:t>1. Cite specific textual evidence to support analysis</w:t>
      </w:r>
      <w:r>
        <w:t xml:space="preserve"> </w:t>
      </w:r>
      <w:r>
        <w:t>of primary and secondary sources, attending</w:t>
      </w:r>
      <w:r>
        <w:t xml:space="preserve"> </w:t>
      </w:r>
      <w:r>
        <w:t>to such features as the date and origin of the</w:t>
      </w:r>
      <w:r>
        <w:t xml:space="preserve"> </w:t>
      </w:r>
      <w:r>
        <w:t>information.</w:t>
      </w:r>
    </w:p>
    <w:p w14:paraId="60CCDF64" w14:textId="5BCD30C3" w:rsidR="00846A5A" w:rsidRDefault="00846A5A" w:rsidP="00846A5A">
      <w:r>
        <w:t>2. Determine the central ideas or information of a</w:t>
      </w:r>
      <w:r>
        <w:t xml:space="preserve"> </w:t>
      </w:r>
      <w:r>
        <w:t>primary or secondary source; provide an accurate</w:t>
      </w:r>
      <w:r>
        <w:t xml:space="preserve"> </w:t>
      </w:r>
      <w:r>
        <w:t>summary of how key events or ideas develop over</w:t>
      </w:r>
      <w:r>
        <w:t xml:space="preserve"> the course of the text (</w:t>
      </w:r>
      <w:r>
        <w:t>language,</w:t>
      </w:r>
      <w:r>
        <w:t xml:space="preserve"> </w:t>
      </w:r>
      <w:r>
        <w:t>inclusion or avoidance of particular facts).</w:t>
      </w:r>
    </w:p>
    <w:p w14:paraId="54B5F5F0" w14:textId="605B288A" w:rsidR="00846A5A" w:rsidRDefault="00846A5A" w:rsidP="00846A5A">
      <w:r>
        <w:t>6. Compare t</w:t>
      </w:r>
      <w:r>
        <w:t xml:space="preserve">he point of view of two or more </w:t>
      </w:r>
      <w:r>
        <w:t>authors for how they treat the same or similar</w:t>
      </w:r>
      <w:r>
        <w:t xml:space="preserve"> </w:t>
      </w:r>
      <w:r>
        <w:t>topics, including which details they include and</w:t>
      </w:r>
      <w:r>
        <w:t xml:space="preserve"> </w:t>
      </w:r>
      <w:r>
        <w:t>emphasize in their respective accounts.</w:t>
      </w:r>
    </w:p>
    <w:p w14:paraId="7A0CA43B" w14:textId="2B8B9CAD" w:rsidR="00846A5A" w:rsidRDefault="00846A5A" w:rsidP="00846A5A">
      <w:r>
        <w:t xml:space="preserve">9. Compare and </w:t>
      </w:r>
      <w:r>
        <w:t xml:space="preserve">contrast treatments of the same </w:t>
      </w:r>
      <w:r>
        <w:t>topic in several primary and secondary sources.</w:t>
      </w:r>
    </w:p>
    <w:p w14:paraId="51F902DF" w14:textId="1BF658B6" w:rsidR="00846A5A" w:rsidRPr="00A15172" w:rsidRDefault="00574A0F" w:rsidP="00846A5A">
      <w:pPr>
        <w:spacing w:before="100" w:beforeAutospacing="1" w:after="72"/>
        <w:rPr>
          <w:rFonts w:ascii="Georgia" w:eastAsia="Cambria" w:hAnsi="Georgia" w:cs="Calibri"/>
          <w:b/>
        </w:rPr>
      </w:pPr>
      <w:r w:rsidRPr="00A15172">
        <w:rPr>
          <w:rFonts w:ascii="Georgia" w:eastAsia="Cambria" w:hAnsi="Georgia" w:cs="Calibri"/>
          <w:b/>
        </w:rPr>
        <w:t>Guiding Q</w:t>
      </w:r>
      <w:r w:rsidR="00882B8F" w:rsidRPr="00A15172">
        <w:rPr>
          <w:rFonts w:ascii="Georgia" w:eastAsia="Cambria" w:hAnsi="Georgia" w:cs="Calibri"/>
          <w:b/>
        </w:rPr>
        <w:t>uestion</w:t>
      </w:r>
      <w:r w:rsidRPr="00A15172">
        <w:rPr>
          <w:rFonts w:ascii="Georgia" w:eastAsia="Cambria" w:hAnsi="Georgia" w:cs="Calibri"/>
          <w:b/>
        </w:rPr>
        <w:t>:</w:t>
      </w:r>
      <w:r w:rsidR="00846A5A">
        <w:rPr>
          <w:rFonts w:ascii="Georgia" w:eastAsia="Cambria" w:hAnsi="Georgia" w:cs="Calibri"/>
          <w:b/>
        </w:rPr>
        <w:br/>
      </w:r>
      <w:r w:rsidR="00846A5A" w:rsidRPr="00846A5A">
        <w:rPr>
          <w:rFonts w:ascii="Georgia" w:eastAsia="Cambria" w:hAnsi="Georgia" w:cs="Calibri"/>
        </w:rPr>
        <w:t>To what extent did the Japanese lifestyle change because of contact with the western world?</w:t>
      </w:r>
    </w:p>
    <w:p w14:paraId="6092F605" w14:textId="3482FC3F" w:rsidR="00286F88" w:rsidRDefault="00574A0F" w:rsidP="00574A0F">
      <w:pPr>
        <w:spacing w:before="100" w:beforeAutospacing="1" w:after="72"/>
        <w:rPr>
          <w:rFonts w:ascii="Georgia" w:eastAsia="Cambria" w:hAnsi="Georgia" w:cs="Calibri"/>
          <w:b/>
        </w:rPr>
      </w:pPr>
      <w:r w:rsidRPr="00A15172">
        <w:rPr>
          <w:rFonts w:ascii="Georgia" w:eastAsia="Cambria" w:hAnsi="Georgia" w:cs="Calibri"/>
          <w:b/>
        </w:rPr>
        <w:t>Overview of Lesson:</w:t>
      </w:r>
    </w:p>
    <w:p w14:paraId="151F472F" w14:textId="6499B176" w:rsidR="00286F88" w:rsidRDefault="00286F88" w:rsidP="00574A0F">
      <w:pPr>
        <w:spacing w:before="100" w:beforeAutospacing="1" w:after="72"/>
        <w:rPr>
          <w:rFonts w:ascii="Georgia" w:hAnsi="Georgia"/>
        </w:rPr>
      </w:pPr>
      <w:r w:rsidRPr="00286F88">
        <w:rPr>
          <w:rFonts w:ascii="Georgia" w:hAnsi="Georgia"/>
          <w:b/>
        </w:rPr>
        <w:t xml:space="preserve">Anticipatory Set:  </w:t>
      </w:r>
      <w:r w:rsidRPr="00286F88">
        <w:rPr>
          <w:rFonts w:ascii="Georgia" w:hAnsi="Georgia"/>
        </w:rPr>
        <w:t>In the computer lab,</w:t>
      </w:r>
      <w:r w:rsidRPr="00286F88">
        <w:rPr>
          <w:rFonts w:ascii="Georgia" w:hAnsi="Georgia"/>
          <w:b/>
        </w:rPr>
        <w:t xml:space="preserve"> </w:t>
      </w:r>
      <w:r w:rsidRPr="00286F88">
        <w:rPr>
          <w:rFonts w:ascii="Georgia" w:hAnsi="Georgia"/>
        </w:rPr>
        <w:t xml:space="preserve">students will be directed to read the essay “Representation and Misrepresentation” in the Unit </w:t>
      </w:r>
      <w:r w:rsidRPr="00286F88">
        <w:rPr>
          <w:rFonts w:ascii="Georgia" w:hAnsi="Georgia"/>
          <w:i/>
        </w:rPr>
        <w:t xml:space="preserve">Globetrotters Japan:  People (Foreigners on the Tourist Circuit in Meiji Japan).  </w:t>
      </w:r>
      <w:r w:rsidRPr="00286F88">
        <w:rPr>
          <w:rFonts w:ascii="Georgia" w:hAnsi="Georgia"/>
        </w:rPr>
        <w:t xml:space="preserve"> </w:t>
      </w:r>
      <w:hyperlink r:id="rId8" w:history="1">
        <w:r w:rsidRPr="00B34B51">
          <w:rPr>
            <w:rStyle w:val="Hyperlink"/>
            <w:rFonts w:ascii="Georgia" w:hAnsi="Georgia"/>
          </w:rPr>
          <w:t>http://ocw.mit.edu/ans7870/21f/21f.027/gt_japan_people/ga1_essay02.html</w:t>
        </w:r>
      </w:hyperlink>
    </w:p>
    <w:p w14:paraId="00F50DD7" w14:textId="6BFA8F04" w:rsidR="00286F88" w:rsidRPr="00286F88" w:rsidRDefault="00286F88" w:rsidP="00574A0F">
      <w:pPr>
        <w:spacing w:before="100" w:beforeAutospacing="1" w:after="72"/>
        <w:rPr>
          <w:rFonts w:ascii="Georgia" w:hAnsi="Georgia"/>
        </w:rPr>
      </w:pPr>
      <w:r w:rsidRPr="00286F88">
        <w:rPr>
          <w:rFonts w:ascii="Georgia" w:hAnsi="Georgia"/>
        </w:rPr>
        <w:t>After reading the introductory essay, students wil</w:t>
      </w:r>
      <w:r>
        <w:rPr>
          <w:rFonts w:ascii="Georgia" w:hAnsi="Georgia"/>
        </w:rPr>
        <w:t>l click on the visual narrative</w:t>
      </w:r>
      <w:r w:rsidRPr="00286F88">
        <w:rPr>
          <w:rFonts w:ascii="Georgia" w:hAnsi="Georgia"/>
        </w:rPr>
        <w:t xml:space="preserve"> main menu found at </w:t>
      </w:r>
      <w:hyperlink r:id="rId9" w:history="1">
        <w:r w:rsidRPr="00286F88">
          <w:rPr>
            <w:rStyle w:val="Hyperlink"/>
            <w:rFonts w:ascii="Georgia" w:hAnsi="Georgia"/>
          </w:rPr>
          <w:t>http://ocw.mit.edu/ans7870/21f/21f.027/gt_japan</w:t>
        </w:r>
        <w:r w:rsidRPr="00286F88">
          <w:rPr>
            <w:rStyle w:val="Hyperlink"/>
            <w:rFonts w:ascii="Georgia" w:hAnsi="Georgia"/>
          </w:rPr>
          <w:t>_</w:t>
        </w:r>
        <w:r w:rsidRPr="00286F88">
          <w:rPr>
            <w:rStyle w:val="Hyperlink"/>
            <w:rFonts w:ascii="Georgia" w:hAnsi="Georgia"/>
          </w:rPr>
          <w:t>people/ga1_visnav_menu.html</w:t>
        </w:r>
      </w:hyperlink>
      <w:r w:rsidRPr="00286F88">
        <w:rPr>
          <w:rFonts w:ascii="Georgia" w:hAnsi="Georgia"/>
        </w:rPr>
        <w:t xml:space="preserve">.  They can browse two sections from the table of contents themselves.  </w:t>
      </w:r>
    </w:p>
    <w:p w14:paraId="64D5A241" w14:textId="77777777" w:rsidR="00286F88" w:rsidRPr="00286F88" w:rsidRDefault="00286F88" w:rsidP="00286F88">
      <w:pPr>
        <w:rPr>
          <w:rFonts w:ascii="Georgia" w:hAnsi="Georgia"/>
        </w:rPr>
      </w:pPr>
      <w:r w:rsidRPr="00286F88">
        <w:rPr>
          <w:rFonts w:ascii="Georgia" w:hAnsi="Georgia"/>
        </w:rPr>
        <w:t>After browsing at least two sections from the menu, students must select ONE section to focus on.  Within that single section…</w:t>
      </w:r>
    </w:p>
    <w:p w14:paraId="72BE85AE" w14:textId="77777777" w:rsidR="00286F88" w:rsidRPr="00286F88" w:rsidRDefault="00286F88" w:rsidP="00286F88">
      <w:pPr>
        <w:rPr>
          <w:rFonts w:ascii="Georgia" w:hAnsi="Georgia"/>
        </w:rPr>
      </w:pPr>
    </w:p>
    <w:p w14:paraId="121B5DE6" w14:textId="77777777" w:rsidR="00286F88" w:rsidRPr="00286F88" w:rsidRDefault="00286F88" w:rsidP="00286F88">
      <w:pPr>
        <w:numPr>
          <w:ilvl w:val="0"/>
          <w:numId w:val="9"/>
        </w:numPr>
        <w:spacing w:after="200"/>
        <w:rPr>
          <w:rFonts w:ascii="Georgia" w:hAnsi="Georgia"/>
        </w:rPr>
      </w:pPr>
      <w:r w:rsidRPr="00286F88">
        <w:rPr>
          <w:rFonts w:ascii="Georgia" w:hAnsi="Georgia"/>
        </w:rPr>
        <w:t>Students have to pick one posed, one “in situ” photo from the series.  (This criteria will eliminate a few categories from contention, since some categories have only posed photos… this is a discussion item for later)</w:t>
      </w:r>
    </w:p>
    <w:p w14:paraId="3EEDF36E" w14:textId="77777777" w:rsidR="00286F88" w:rsidRPr="00286F88" w:rsidRDefault="00286F88" w:rsidP="00286F88">
      <w:pPr>
        <w:numPr>
          <w:ilvl w:val="0"/>
          <w:numId w:val="9"/>
        </w:numPr>
        <w:spacing w:after="200"/>
        <w:rPr>
          <w:rFonts w:ascii="Georgia" w:hAnsi="Georgia"/>
        </w:rPr>
      </w:pPr>
      <w:r w:rsidRPr="00286F88">
        <w:rPr>
          <w:rFonts w:ascii="Georgia" w:hAnsi="Georgia"/>
        </w:rPr>
        <w:t>For each picture selected, they must complete a 6 C’s chart.</w:t>
      </w:r>
    </w:p>
    <w:p w14:paraId="49A0A99D" w14:textId="77777777" w:rsidR="00286F88" w:rsidRPr="00286F88" w:rsidRDefault="00286F88" w:rsidP="00286F88">
      <w:pPr>
        <w:numPr>
          <w:ilvl w:val="0"/>
          <w:numId w:val="9"/>
        </w:numPr>
        <w:spacing w:after="200"/>
        <w:rPr>
          <w:rFonts w:ascii="Georgia" w:hAnsi="Georgia"/>
        </w:rPr>
      </w:pPr>
      <w:r w:rsidRPr="00286F88">
        <w:rPr>
          <w:rFonts w:ascii="Georgia" w:hAnsi="Georgia"/>
        </w:rPr>
        <w:t>They will share the pictures they chose with someone else who chose a different category when the class returns to the classroom from the computer lab; the pictures should be dragged to a Word document that already has the 6 C’s chart on it.</w:t>
      </w:r>
    </w:p>
    <w:p w14:paraId="3397C008" w14:textId="77777777" w:rsidR="00286F88" w:rsidRPr="00286F88" w:rsidRDefault="00286F88" w:rsidP="00286F88">
      <w:pPr>
        <w:rPr>
          <w:rFonts w:ascii="Georgia" w:hAnsi="Georgia"/>
        </w:rPr>
      </w:pPr>
    </w:p>
    <w:p w14:paraId="5FAEBE22" w14:textId="77777777" w:rsidR="00286F88" w:rsidRDefault="00286F88" w:rsidP="00286F88">
      <w:pPr>
        <w:rPr>
          <w:rFonts w:ascii="Georgia" w:hAnsi="Georgia"/>
        </w:rPr>
      </w:pPr>
      <w:r w:rsidRPr="00286F88">
        <w:rPr>
          <w:rFonts w:ascii="Georgia" w:hAnsi="Georgia"/>
        </w:rPr>
        <w:t>Estimated time:  One class period with homework for those who have trouble completing the 6 C’s charts in class.</w:t>
      </w:r>
    </w:p>
    <w:p w14:paraId="7739EB52" w14:textId="77777777" w:rsidR="00286F88" w:rsidRPr="00286F88" w:rsidRDefault="00286F88" w:rsidP="00286F88">
      <w:pPr>
        <w:rPr>
          <w:rFonts w:ascii="Georgia" w:hAnsi="Georgia"/>
        </w:rPr>
      </w:pPr>
    </w:p>
    <w:p w14:paraId="4DC10647" w14:textId="77777777" w:rsidR="00286F88" w:rsidRPr="00286F88" w:rsidRDefault="00286F88" w:rsidP="00286F88">
      <w:pPr>
        <w:rPr>
          <w:rFonts w:ascii="Georgia" w:hAnsi="Georgia"/>
        </w:rPr>
      </w:pPr>
      <w:r w:rsidRPr="00286F88">
        <w:rPr>
          <w:rFonts w:ascii="Georgia" w:hAnsi="Georgia"/>
        </w:rPr>
        <w:t>In class the next day, students will get into pairs or small groups to compare what they noticed about their photos.  The entire class will discuss the attitudes motivating the photographers, and how those attitudes might have affected the Japanese who were the subjects of the portraits.</w:t>
      </w:r>
    </w:p>
    <w:p w14:paraId="011AA92A" w14:textId="77777777" w:rsidR="00286F88" w:rsidRPr="00286F88" w:rsidRDefault="00286F88" w:rsidP="00286F88">
      <w:pPr>
        <w:rPr>
          <w:rFonts w:ascii="Georgia" w:hAnsi="Georgia"/>
        </w:rPr>
      </w:pPr>
    </w:p>
    <w:p w14:paraId="04059D15" w14:textId="77777777" w:rsidR="00286F88" w:rsidRDefault="00286F88" w:rsidP="00286F88">
      <w:pPr>
        <w:rPr>
          <w:rFonts w:ascii="Georgia" w:hAnsi="Georgia"/>
        </w:rPr>
      </w:pPr>
      <w:r w:rsidRPr="00286F88">
        <w:rPr>
          <w:rFonts w:ascii="Georgia" w:hAnsi="Georgia"/>
        </w:rPr>
        <w:t xml:space="preserve">Students will then brainstorm what responses the Japanese might have had to being treated in the way suggested by the photographs (Communication, Conclusions and Context parts of the 6 C’s chart).  </w:t>
      </w:r>
    </w:p>
    <w:p w14:paraId="39CFFDB0" w14:textId="77777777" w:rsidR="00286F88" w:rsidRDefault="00286F88" w:rsidP="00286F88">
      <w:pPr>
        <w:rPr>
          <w:rFonts w:ascii="Georgia" w:hAnsi="Georgia"/>
        </w:rPr>
      </w:pPr>
    </w:p>
    <w:p w14:paraId="7B442851" w14:textId="77777777" w:rsidR="00286F88" w:rsidRDefault="00286F88" w:rsidP="00286F88">
      <w:pPr>
        <w:rPr>
          <w:rFonts w:ascii="Georgia" w:hAnsi="Georgia"/>
        </w:rPr>
      </w:pPr>
      <w:r w:rsidRPr="00286F88">
        <w:rPr>
          <w:rFonts w:ascii="Georgia" w:hAnsi="Georgia"/>
        </w:rPr>
        <w:t xml:space="preserve">This can springboard the students into looking at the Thompson photographs of China’s people (found in the Unit </w:t>
      </w:r>
      <w:r w:rsidRPr="00286F88">
        <w:rPr>
          <w:rFonts w:ascii="Georgia" w:hAnsi="Georgia"/>
          <w:i/>
        </w:rPr>
        <w:t xml:space="preserve">John Thompson I:  China and It’s People </w:t>
      </w:r>
      <w:r w:rsidRPr="00286F88">
        <w:rPr>
          <w:rFonts w:ascii="Georgia" w:hAnsi="Georgia"/>
        </w:rPr>
        <w:t xml:space="preserve">at </w:t>
      </w:r>
      <w:hyperlink r:id="rId10" w:history="1">
        <w:r w:rsidRPr="00286F88">
          <w:rPr>
            <w:rStyle w:val="Hyperlink"/>
            <w:rFonts w:ascii="Georgia" w:hAnsi="Georgia"/>
          </w:rPr>
          <w:t>http://ocw.mit.edu/ans7870/21f/21f.027/john_thomson_china_02/people.html</w:t>
        </w:r>
      </w:hyperlink>
      <w:r w:rsidRPr="00286F88">
        <w:rPr>
          <w:rFonts w:ascii="Georgia" w:hAnsi="Georgia"/>
        </w:rPr>
        <w:t xml:space="preserve">), either in the computer lab during class time or for homework or as extra credit; or into a lesson on modernity in Asia generally.  </w:t>
      </w:r>
    </w:p>
    <w:p w14:paraId="21D46208" w14:textId="77777777" w:rsidR="00286F88" w:rsidRDefault="00286F88" w:rsidP="00286F88">
      <w:pPr>
        <w:rPr>
          <w:rFonts w:ascii="Georgia" w:hAnsi="Georgia"/>
        </w:rPr>
      </w:pPr>
    </w:p>
    <w:p w14:paraId="76D85BCA" w14:textId="00CBB466" w:rsidR="00286F88" w:rsidRPr="00286F88" w:rsidRDefault="00286F88" w:rsidP="00286F88">
      <w:pPr>
        <w:rPr>
          <w:rFonts w:ascii="Georgia" w:hAnsi="Georgia"/>
        </w:rPr>
      </w:pPr>
      <w:r w:rsidRPr="00286F88">
        <w:rPr>
          <w:rFonts w:ascii="Georgia" w:hAnsi="Georgia"/>
        </w:rPr>
        <w:t xml:space="preserve">It will also lead to historical context around resistance like the Boxer Rebellion and possibly the Unit </w:t>
      </w:r>
      <w:r w:rsidRPr="00286F88">
        <w:rPr>
          <w:rFonts w:ascii="Georgia" w:hAnsi="Georgia"/>
          <w:i/>
        </w:rPr>
        <w:t xml:space="preserve">Toyko Modern I </w:t>
      </w:r>
      <w:r w:rsidRPr="00286F88">
        <w:rPr>
          <w:rFonts w:ascii="Georgia" w:hAnsi="Georgia"/>
        </w:rPr>
        <w:t xml:space="preserve">found at </w:t>
      </w:r>
      <w:hyperlink r:id="rId11" w:history="1">
        <w:r w:rsidRPr="00286F88">
          <w:rPr>
            <w:rStyle w:val="Hyperlink"/>
            <w:rFonts w:ascii="Georgia" w:hAnsi="Georgia"/>
          </w:rPr>
          <w:t>http://ocw.mit.edu/ans7870/21f/21f.027/tokyo_modern_01/index.html</w:t>
        </w:r>
      </w:hyperlink>
      <w:r w:rsidRPr="00286F88">
        <w:rPr>
          <w:rFonts w:ascii="Georgia" w:hAnsi="Georgia"/>
        </w:rPr>
        <w:t>.</w:t>
      </w:r>
    </w:p>
    <w:p w14:paraId="5DEFBFA2" w14:textId="537E0592" w:rsidR="00286F88" w:rsidRPr="00286F88" w:rsidRDefault="00286F88" w:rsidP="00574A0F">
      <w:pPr>
        <w:spacing w:before="100" w:beforeAutospacing="1" w:after="72"/>
        <w:rPr>
          <w:rFonts w:ascii="Georgia" w:eastAsia="Cambria" w:hAnsi="Georgia" w:cs="Calibri"/>
          <w:b/>
        </w:rPr>
      </w:pPr>
      <w:r w:rsidRPr="00286F88">
        <w:rPr>
          <w:rFonts w:ascii="Georgia" w:eastAsia="Cambria" w:hAnsi="Georgia" w:cs="Calibri"/>
          <w:b/>
        </w:rPr>
        <w:t>Bibliography:</w:t>
      </w:r>
    </w:p>
    <w:p w14:paraId="3ED3840F" w14:textId="24A88EE1" w:rsidR="00286F88" w:rsidRPr="00286F88" w:rsidRDefault="00286F88" w:rsidP="00574A0F">
      <w:pPr>
        <w:spacing w:before="100" w:beforeAutospacing="1" w:after="72"/>
        <w:rPr>
          <w:rFonts w:ascii="Georgia" w:eastAsia="Cambria" w:hAnsi="Georgia" w:cs="Calibri"/>
          <w:b/>
        </w:rPr>
      </w:pPr>
      <w:r w:rsidRPr="00286F88">
        <w:rPr>
          <w:rFonts w:ascii="Georgia" w:hAnsi="Georgia" w:cs="Arial"/>
        </w:rPr>
        <w:t xml:space="preserve">“Years of Reform:  Prologue to Revolution.”  </w:t>
      </w:r>
      <w:r w:rsidRPr="00286F88">
        <w:rPr>
          <w:rFonts w:ascii="Georgia" w:hAnsi="Georgia" w:cs="Arial"/>
          <w:u w:val="single"/>
        </w:rPr>
        <w:t>Asia for Educators: China 1750 to 1919</w:t>
      </w:r>
      <w:r w:rsidRPr="00286F88">
        <w:rPr>
          <w:rFonts w:ascii="Georgia" w:hAnsi="Georgia" w:cs="Arial"/>
        </w:rPr>
        <w:t xml:space="preserve">. Columbia University.  2009. </w:t>
      </w:r>
      <w:hyperlink r:id="rId12" w:history="1">
        <w:r w:rsidRPr="00286F88">
          <w:rPr>
            <w:rStyle w:val="Hyperlink"/>
            <w:rFonts w:ascii="Georgia" w:hAnsi="Georgia" w:cs="Arial"/>
          </w:rPr>
          <w:t>http://afe.easia.columbia.edu/tps/1750.htm#reform</w:t>
        </w:r>
      </w:hyperlink>
    </w:p>
    <w:p w14:paraId="6F7F6B98" w14:textId="1D12CE78" w:rsidR="00964A3C" w:rsidRDefault="00964A3C" w:rsidP="001A2159"/>
    <w:p w14:paraId="50AA54AD" w14:textId="317F485D" w:rsidR="00964A3C" w:rsidRPr="00D102BB" w:rsidRDefault="00964A3C" w:rsidP="00A15172">
      <w:pPr>
        <w:jc w:val="center"/>
        <w:rPr>
          <w:rFonts w:ascii="Georgia" w:hAnsi="Georgia"/>
          <w:sz w:val="22"/>
          <w:szCs w:val="22"/>
        </w:rPr>
      </w:pPr>
    </w:p>
    <w:sectPr w:rsidR="00964A3C" w:rsidRPr="00D102BB" w:rsidSect="001A2159">
      <w:footerReference w:type="default" r:id="rId13"/>
      <w:pgSz w:w="12240" w:h="15840"/>
      <w:pgMar w:top="810" w:right="1170" w:bottom="810"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DFDB" w14:textId="77777777" w:rsidR="00286F88" w:rsidRDefault="00286F88" w:rsidP="0019790E">
      <w:r>
        <w:separator/>
      </w:r>
    </w:p>
  </w:endnote>
  <w:endnote w:type="continuationSeparator" w:id="0">
    <w:p w14:paraId="09B7F25B" w14:textId="77777777" w:rsidR="00286F88" w:rsidRDefault="00286F88"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altName w:val="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DEDF" w14:textId="77777777" w:rsidR="00286F88" w:rsidRDefault="00286F88">
    <w:pPr>
      <w:pStyle w:val="Footer"/>
    </w:pPr>
    <w:r>
      <w:rPr>
        <w:noProof/>
      </w:rPr>
      <w:drawing>
        <wp:inline distT="0" distB="0" distL="0" distR="0" wp14:anchorId="41E5C80C" wp14:editId="273855C5">
          <wp:extent cx="2108835" cy="5506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37443" w14:textId="77777777" w:rsidR="00286F88" w:rsidRDefault="00286F88" w:rsidP="0019790E">
      <w:r>
        <w:separator/>
      </w:r>
    </w:p>
  </w:footnote>
  <w:footnote w:type="continuationSeparator" w:id="0">
    <w:p w14:paraId="60979724" w14:textId="77777777" w:rsidR="00286F88" w:rsidRDefault="00286F88" w:rsidP="001979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7D062D67"/>
    <w:multiLevelType w:val="hybridMultilevel"/>
    <w:tmpl w:val="2CD2EC08"/>
    <w:lvl w:ilvl="0" w:tplc="7458AC7A">
      <w:start w:val="1"/>
      <w:numFmt w:val="bullet"/>
      <w:lvlText w:val=""/>
      <w:lvlJc w:val="left"/>
      <w:pPr>
        <w:tabs>
          <w:tab w:val="num" w:pos="360"/>
        </w:tabs>
        <w:ind w:left="360" w:hanging="360"/>
      </w:pPr>
      <w:rPr>
        <w:rFonts w:ascii="Wingdings 2" w:hAnsi="Wingdings 2" w:hint="default"/>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1080"/>
        </w:tabs>
        <w:ind w:left="-1080" w:hanging="360"/>
      </w:pPr>
      <w:rPr>
        <w:rFonts w:ascii="Courier New" w:hAnsi="Courier New" w:hint="default"/>
      </w:rPr>
    </w:lvl>
    <w:lvl w:ilvl="5" w:tplc="00050409" w:tentative="1">
      <w:start w:val="1"/>
      <w:numFmt w:val="bullet"/>
      <w:lvlText w:val=""/>
      <w:lvlJc w:val="left"/>
      <w:pPr>
        <w:tabs>
          <w:tab w:val="num" w:pos="-360"/>
        </w:tabs>
        <w:ind w:left="-360" w:hanging="360"/>
      </w:pPr>
      <w:rPr>
        <w:rFonts w:ascii="Wingdings" w:hAnsi="Wingdings" w:hint="default"/>
      </w:rPr>
    </w:lvl>
    <w:lvl w:ilvl="6" w:tplc="00010409" w:tentative="1">
      <w:start w:val="1"/>
      <w:numFmt w:val="bullet"/>
      <w:lvlText w:val=""/>
      <w:lvlJc w:val="left"/>
      <w:pPr>
        <w:tabs>
          <w:tab w:val="num" w:pos="360"/>
        </w:tabs>
        <w:ind w:left="360" w:hanging="360"/>
      </w:pPr>
      <w:rPr>
        <w:rFonts w:ascii="Symbol" w:hAnsi="Symbol" w:hint="default"/>
      </w:rPr>
    </w:lvl>
    <w:lvl w:ilvl="7" w:tplc="00030409" w:tentative="1">
      <w:start w:val="1"/>
      <w:numFmt w:val="bullet"/>
      <w:lvlText w:val="o"/>
      <w:lvlJc w:val="left"/>
      <w:pPr>
        <w:tabs>
          <w:tab w:val="num" w:pos="1080"/>
        </w:tabs>
        <w:ind w:left="1080" w:hanging="360"/>
      </w:pPr>
      <w:rPr>
        <w:rFonts w:ascii="Courier New" w:hAnsi="Courier New" w:hint="default"/>
      </w:rPr>
    </w:lvl>
    <w:lvl w:ilvl="8" w:tplc="00050409" w:tentative="1">
      <w:start w:val="1"/>
      <w:numFmt w:val="bullet"/>
      <w:lvlText w:val=""/>
      <w:lvlJc w:val="left"/>
      <w:pPr>
        <w:tabs>
          <w:tab w:val="num" w:pos="1800"/>
        </w:tabs>
        <w:ind w:left="1800" w:hanging="360"/>
      </w:pPr>
      <w:rPr>
        <w:rFonts w:ascii="Wingdings" w:hAnsi="Wingdings" w:hint="default"/>
      </w:rPr>
    </w:lvl>
  </w:abstractNum>
  <w:abstractNum w:abstractNumId="8">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4"/>
  </w:num>
  <w:num w:numId="6">
    <w:abstractNumId w:val="8"/>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D"/>
    <w:rsid w:val="000262F7"/>
    <w:rsid w:val="0012503B"/>
    <w:rsid w:val="0019790E"/>
    <w:rsid w:val="001A2159"/>
    <w:rsid w:val="00286F88"/>
    <w:rsid w:val="00313DA2"/>
    <w:rsid w:val="00321643"/>
    <w:rsid w:val="003C4A2A"/>
    <w:rsid w:val="00496660"/>
    <w:rsid w:val="004B09D8"/>
    <w:rsid w:val="005542BF"/>
    <w:rsid w:val="00574A0F"/>
    <w:rsid w:val="00613C3D"/>
    <w:rsid w:val="007169F4"/>
    <w:rsid w:val="008032B8"/>
    <w:rsid w:val="008234FF"/>
    <w:rsid w:val="00846A5A"/>
    <w:rsid w:val="00882B8F"/>
    <w:rsid w:val="008A3630"/>
    <w:rsid w:val="00964A3C"/>
    <w:rsid w:val="009C2A92"/>
    <w:rsid w:val="00A15172"/>
    <w:rsid w:val="00A31B2A"/>
    <w:rsid w:val="00B222F6"/>
    <w:rsid w:val="00C0286D"/>
    <w:rsid w:val="00C63D72"/>
    <w:rsid w:val="00D02C8F"/>
    <w:rsid w:val="00D102BB"/>
    <w:rsid w:val="00EB138A"/>
    <w:rsid w:val="00EF513E"/>
    <w:rsid w:val="00F27A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9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character" w:styleId="FollowedHyperlink">
    <w:name w:val="FollowedHyperlink"/>
    <w:basedOn w:val="DefaultParagraphFont"/>
    <w:uiPriority w:val="99"/>
    <w:semiHidden/>
    <w:unhideWhenUsed/>
    <w:rsid w:val="00286F8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character" w:styleId="FollowedHyperlink">
    <w:name w:val="FollowedHyperlink"/>
    <w:basedOn w:val="DefaultParagraphFont"/>
    <w:uiPriority w:val="99"/>
    <w:semiHidden/>
    <w:unhideWhenUsed/>
    <w:rsid w:val="00286F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cw.mit.edu/ans7870/21f/21f.027/tokyo_modern_01/index.html" TargetMode="External"/><Relationship Id="rId12" Type="http://schemas.openxmlformats.org/officeDocument/2006/relationships/hyperlink" Target="http://afe.easia.columbia.edu/tps/1750.htm#refor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cw.mit.edu/ans7870/21f/21f.027/gt_japan_people/ga1_essay02.html" TargetMode="External"/><Relationship Id="rId9" Type="http://schemas.openxmlformats.org/officeDocument/2006/relationships/hyperlink" Target="http://ocw.mit.edu/ans7870/21f/21f.027/gt_japan_people/ga1_visnav_menu.html" TargetMode="External"/><Relationship Id="rId10" Type="http://schemas.openxmlformats.org/officeDocument/2006/relationships/hyperlink" Target="http://ocw.mit.edu/ans7870/21f/21f.027/john_thomson_china_02/peopl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605</Words>
  <Characters>3449</Characters>
  <Application>Microsoft Macintosh Word</Application>
  <DocSecurity>0</DocSecurity>
  <Lines>28</Lines>
  <Paragraphs>8</Paragraphs>
  <ScaleCrop>false</ScaleCrop>
  <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Emily Markussen Sorsher</cp:lastModifiedBy>
  <cp:revision>13</cp:revision>
  <dcterms:created xsi:type="dcterms:W3CDTF">2013-09-03T20:52:00Z</dcterms:created>
  <dcterms:modified xsi:type="dcterms:W3CDTF">2014-08-28T05:55:00Z</dcterms:modified>
</cp:coreProperties>
</file>